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ind w:left="0" w:firstLine="0"/>
        <w:contextualSpacing w:val="0"/>
        <w:jc w:val="center"/>
      </w:pPr>
      <w:r w:rsidDel="00000000" w:rsidR="00000000" w:rsidRPr="00000000">
        <w:rPr>
          <w:u w:val="single"/>
          <w:rtl w:val="0"/>
        </w:rPr>
        <w:t xml:space="preserve">Gateway Specialty Imports Mary Lee Sturdivant Scholarship Submission Guidelines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u w:val="single"/>
          <w:rtl w:val="0"/>
        </w:rPr>
        <w:t xml:space="preserve">Eligibility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In order to qualify for the Gateway Specialty Imports Mary Lee Sturdivant Scholarship, applicants must: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Be female.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Be a U.S. citizen.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Be a graduating high school senior who will be a college freshman in the upcoming academic year.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Have a GPA of 2.5 or above.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Already be accepted and enrolled to a four year college.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Submit a curriculum vitae/high school transcript, a 1-2 page personal statement/essay detailing why the applicant believes they should receive the scholarship and what their academic and personal goals are, and 5 references in addition to the application form.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u w:val="single"/>
          <w:rtl w:val="0"/>
        </w:rPr>
        <w:t xml:space="preserve">Criteria for Selection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Scholarship recipients will be selected based on: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Personal statement/essay.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Personal, professional, and academic references.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Academic abilities.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Demonstration of ambition (extracurricular activities, awards, community service, etc.).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Individual financial need.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u w:val="single"/>
          <w:rtl w:val="0"/>
        </w:rPr>
        <w:t xml:space="preserve">General Information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The Gateway Specialty Imports Mary Lee Sturdivant Scholarship: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</w:t>
      </w:r>
      <w:r w:rsidDel="00000000" w:rsidR="00000000" w:rsidRPr="00000000">
        <w:rPr>
          <w:rtl w:val="0"/>
        </w:rPr>
        <w:t xml:space="preserve">ill award $1,500 to one recipient per year.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highlight w:val="white"/>
          <w:rtl w:val="0"/>
        </w:rPr>
        <w:t xml:space="preserve">Will not give special consideration to previous winners.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highlight w:val="white"/>
          <w:rtl w:val="0"/>
        </w:rPr>
        <w:t xml:space="preserve">Will be accepting applications starting on January 1, 2017 and ending on January 31, 2017 for the 2017-2018 academic year (beginning in the fall).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Does not require enrollment in a specific college major or minor.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Will notify winners by May 31, 2017.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Will make the scholarship award payable to the college/university of choice and the recipient.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Will mail the scholarship check by August 1, 2017 directly to the college/university indicated by the winner.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Must be notified by July 1, 2017 if the college/university of choice is changed.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Does not charge an application fee or serve as a means to generate revenue for the scholarship provider.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1440" w:right="0" w:hanging="36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